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CC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关于《博尔塔拉蒙古自治州温泉新疆北鲵</w:t>
      </w:r>
    </w:p>
    <w:p w14:paraId="35472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自然保护区管理条例（修订草案）》</w:t>
      </w:r>
    </w:p>
    <w:p w14:paraId="6C719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修改情况的说明</w:t>
      </w:r>
    </w:p>
    <w:p w14:paraId="18020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A0A1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根据会议安排，现将《博尔塔拉蒙古自治州温泉新疆北鲵自然保护区管理条例（修订草案）》（以下简称《条例（修订草案）》）修改情况说明如下：</w:t>
      </w:r>
    </w:p>
    <w:p w14:paraId="7BF18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一、修改背景</w:t>
      </w:r>
    </w:p>
    <w:p w14:paraId="037CD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《中华人民共和国自然保护区条例》已经2026年1月9日国务院第77次常务会议修订通过，自2026年3月15日起施行。这是该条例自1994年颁布以来的第三次修订，也是30年来最大幅度的调整。新修订的条例对自然保护区功能定位、管控分区、保护管理措施、法律责任等作出重大调整，特别是将自然保护区分区由“核心区、缓冲区、实验区”三区结构调整为“核心保护区、一般控制区”两区架构，核心保护区原则上禁止人为活动，一般控制区严格限制人为活动，法律责任处罚标准大幅提高。</w:t>
      </w:r>
    </w:p>
    <w:p w14:paraId="2D2C9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《博尔塔拉蒙古自治州温泉新疆北鲵自然保护区管理条例》于2009年颁布实施，2019年修正，2022年修订。现行条例在保护新疆北鲵及其栖息地方面发挥了重要作用，但部分条款与新修订的《中华人民共和国自然保护区条例》、《中华人民共和国生态环境法典》存在不相一致的问题，特别是分区管理制度、保护管理措施、法律责任等方面需要及时调整完善。根据国家和自治区有关地方立法工作要求，有必要对《条例》进行全面修订，确保与上位法相衔接，切实加强温泉新疆北鲵国家级自然保护区的保护和管理。</w:t>
      </w:r>
    </w:p>
    <w:p w14:paraId="41568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二、修改过程</w:t>
      </w:r>
    </w:p>
    <w:p w14:paraId="15B33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2026年8月下旬，温泉县林业和草原局在上级业务部门指导下启动《条例》修订工作；在深入调研基础上，在自治区林业和草原局、自治州林业和草原局指导下，与自治州人大常委会法制工作委员会、司法局全程对接，充分衔接新修订的《中华人民共和国自然保护区条例》，对《条例》进行全面修订，9月11日形成《条例（修订草案）》征求意见稿；9月14日，在温泉县人民政府网站公开征求意见建议；9月17日组织专家论证，形成《条例（修订草案）》。</w:t>
      </w:r>
    </w:p>
    <w:p w14:paraId="4CD57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三、主要修改内容</w:t>
      </w:r>
    </w:p>
    <w:p w14:paraId="6488B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本次对《条例》进行全面修订，由原五章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二十四条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调整为五章三十八条，全部修改内容共29项，与修改对照表逐条对应，主要修改内容如下：</w:t>
      </w:r>
    </w:p>
    <w:p w14:paraId="6E3EA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㈠完善立法目的和依据（对照表第1项，第一条）</w:t>
      </w:r>
    </w:p>
    <w:p w14:paraId="7F983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修改立法目的，增加“推进生态文明和美丽博州建设”表述；补充《中华人民共和国自然保护区条例》《中华人民共和国生态环境法典》作为立法依据，与新修订上位法相衔接。</w:t>
      </w:r>
    </w:p>
    <w:p w14:paraId="37D413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㈡调整保护区分区管理制度（对照表第2项，第三条，核心修改内容）</w:t>
      </w:r>
    </w:p>
    <w:p w14:paraId="6CBF3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将北鲵保护区分区由“核心区、缓冲区、实验区”三区结构调整为“核心保护区、一般控制区”两区架构，删除原分区面积文字描述，明确保护区范围、界线、管控分区以国务院批准公布坐标为准；保留查干赛保护点相关规定，与上位法保持一致。</w:t>
      </w:r>
    </w:p>
    <w:p w14:paraId="2E3B2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㈢新增保护管理基本原则（对照表第3项，新增第五条）</w:t>
      </w:r>
    </w:p>
    <w:p w14:paraId="6D0F0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新增基本原则条款，明确保护区保护管理贯彻党和国家路线方针政策、决策部署，践行绿水青山就是金山银山理念，坚持生态保护第一、统筹保护和发展等要求，落实上位法立法精神。</w:t>
      </w:r>
    </w:p>
    <w:p w14:paraId="2F8E6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㈣优化政府及部门职责体系（对照表第4‑7项，第七条、第八条、第九条、第十条、第十一条）</w:t>
      </w:r>
    </w:p>
    <w:p w14:paraId="660DB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第七条：在自治州政府职责中，增加将保护区建设纳入国民经济和社会发展相关规划的要求。</w:t>
      </w:r>
    </w:p>
    <w:p w14:paraId="3B9F7F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第八条：厘清州、县两级林草主管部门监管职责，更新各相关部门名称，细化部门监管分工。</w:t>
      </w:r>
    </w:p>
    <w:p w14:paraId="44627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第九条：扩充北鲵保护区管理站十项工作职责，新增专项规划实施、北鲵人工繁育与种群监测、巡护体系、应急处置、救护受伤北鲵等内容。</w:t>
      </w:r>
    </w:p>
    <w:p w14:paraId="4E20C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第十条：完善经费保障，明确州、县两级将保护区管理经费列入本级预算，拓宽社会资金渠道。</w:t>
      </w:r>
    </w:p>
    <w:p w14:paraId="38C84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第十一条：新增界线标志保护条款，明确对界碑、界桩、电子围栏等标识的管护要求，禁止损毁、擅自移动各类标识。</w:t>
      </w:r>
    </w:p>
    <w:p w14:paraId="39132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㈤增设、细化保护管理基础制度（对照表第8-19项，第十二条-第二十七条）</w:t>
      </w:r>
    </w:p>
    <w:p w14:paraId="0194F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第十二条至第十五条：新增保护区规划编制报批、自然资源确权登记、监测网络建设、生态修复与外来物种防范制度，严格对标上位法相关制度。</w:t>
      </w:r>
    </w:p>
    <w:p w14:paraId="0C64B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第十六条、第十七条：重构分区管控规则，分别列明核心保护区禁止人为活动的例外情形、一般控制区允许开展的活动清单。</w:t>
      </w:r>
    </w:p>
    <w:p w14:paraId="6768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第十八条、第十九条：规范保护区内原有居民生产生活管控，细化各类活动办理审批、成果提交、生态防护义务。</w:t>
      </w:r>
    </w:p>
    <w:p w14:paraId="47396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第二十条：修改外国人入区管理，聚焦管控重点，明确未经批准外国人不得开展标本采集活动。</w:t>
      </w:r>
    </w:p>
    <w:p w14:paraId="772FC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第二十一条至第二十三条：细化日常巡护、突发事件应急处置、访客容量管控、生态旅游管理。</w:t>
      </w:r>
    </w:p>
    <w:p w14:paraId="243E3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第二十四条：保留原条例禁止砍伐、放牧、狩猎等破坏性活动的条款，不作实质修改。</w:t>
      </w:r>
    </w:p>
    <w:p w14:paraId="06E80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第二十五条：将原2022版条例第十六条、第十七条合并，集中规定新疆北鲵栖息地保护、北鲵及其制品利用审批，条文内容不作实质改动。</w:t>
      </w:r>
    </w:p>
    <w:p w14:paraId="07C2F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第二十六条至第二十八条：新增监督检查、生态警务、举报受理、信息公开制度，强化社会监督。</w:t>
      </w:r>
    </w:p>
    <w:p w14:paraId="5DC2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说明：原条例第四条（物种定义）、第六条（公民义务与表彰奖励）、第二十四条（禁止破坏性活动），经审查与上位法无抵触，予以原文保留，未作修改。</w:t>
      </w:r>
    </w:p>
    <w:p w14:paraId="5474A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㈥重构第四章法律责任（对照表第20-28项，第二十九条至第三十七条）</w:t>
      </w:r>
    </w:p>
    <w:p w14:paraId="36C8C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第二十九条：新增损毁界标、科研未提交成果的行政处罚。</w:t>
      </w:r>
    </w:p>
    <w:p w14:paraId="56BD1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第三十条、第三十一条：对标2026版《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中华人民共和国自然保护区条例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》大幅提高处罚额度，核心保护区违法行为最高可处500万元罚款，一般控制区违法行为最高可处200万元罚款。</w:t>
      </w:r>
    </w:p>
    <w:p w14:paraId="3F5DF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第三十二条：新增原有居民超出规模开展生产生活活动的处罚。</w:t>
      </w:r>
    </w:p>
    <w:p w14:paraId="309C8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第三十三条：新增开展保护区活动未落实生态防护措施的罚则。</w:t>
      </w:r>
    </w:p>
    <w:p w14:paraId="6526F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第三十四条：保留砍伐放牧等行为处罚，做好与上位法衔接。</w:t>
      </w:r>
    </w:p>
    <w:p w14:paraId="6873B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第三十五条</w:t>
      </w:r>
      <w:bookmarkStart w:id="0" w:name="_GoBack"/>
      <w:r>
        <w:rPr>
          <w:rFonts w:hint="eastAsia" w:ascii="方正仿宋_GBK" w:hAnsi="方正仿宋_GBK" w:eastAsia="方正仿宋_GBK" w:cs="方正仿宋_GBK"/>
          <w:sz w:val="32"/>
          <w:szCs w:val="32"/>
        </w:rPr>
        <w:t>-</w:t>
      </w:r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第三十七条：补充拒不服从管理、民事侵权、刑事追责、公职人员履职追责条款。</w:t>
      </w:r>
    </w:p>
    <w:p w14:paraId="67C76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现提请审定，如无不妥，建议按程序提请自治州人民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政府审定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437F4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41A9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E472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</w:t>
      </w:r>
    </w:p>
    <w:p w14:paraId="4D2F7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温泉县林业和草原局</w:t>
      </w:r>
    </w:p>
    <w:p w14:paraId="00582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2026年9月11日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13E8B"/>
    <w:rsid w:val="6322792E"/>
    <w:rsid w:val="6882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2248</Words>
  <Characters>2297</Characters>
  <Lines>0</Lines>
  <Paragraphs>0</Paragraphs>
  <TotalTime>3</TotalTime>
  <ScaleCrop>false</ScaleCrop>
  <LinksUpToDate>false</LinksUpToDate>
  <CharactersWithSpaces>2386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张严军</cp:lastModifiedBy>
  <dcterms:modified xsi:type="dcterms:W3CDTF">2026-09-15T12:14:54Z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eyJoZGlkIjoiZDY0ZDQ5Y2ZjMzY0YjU4YjhkYzllZDVjN2QxYjEzYjIiLCJ1c2VySWQiOiI0NDY4MDIzMjUifQ==</vt:lpwstr>
  </property>
  <property fmtid="{D5CDD505-2E9C-101B-9397-08002B2CF9AE}" pid="4" name="ICV">
    <vt:lpwstr>30CE05B4CC9240CBA665FC2CE2EBC9B6_12</vt:lpwstr>
  </property>
</Properties>
</file>