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420" w:lineRule="exact"/>
        <w:ind w:firstLine="88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ind w:firstLine="880"/>
        <w:jc w:val="center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温泉县2024年度地质灾害防治方案</w:t>
      </w:r>
    </w:p>
    <w:p>
      <w:pPr>
        <w:widowControl/>
        <w:adjustRightInd w:val="0"/>
        <w:snapToGrid w:val="0"/>
        <w:spacing w:line="4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切实做好2024年度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</w:t>
      </w:r>
      <w:r>
        <w:rPr>
          <w:rFonts w:ascii="Times New Roman" w:hAnsi="Times New Roman" w:eastAsia="方正仿宋_GBK" w:cs="Times New Roman"/>
          <w:sz w:val="32"/>
          <w:szCs w:val="32"/>
        </w:rPr>
        <w:t>县地质灾害防治工作，不断健全高效科学的地质灾害防治体系，最大限度避免和减轻因地质灾害造成的生命财产损失，根据《地质灾害防治条例》（国务院令第394号）、《新疆维吾尔自治区地质灾害防治条例》规定和《关于推进防灾减灾救灾体制机制改革的实施意见》（新党发〔2017〕15号）有关规定，结合温泉县实际，制定本方案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一、全县地质灾害概况</w:t>
      </w:r>
    </w:p>
    <w:p>
      <w:pPr>
        <w:pStyle w:val="9"/>
        <w:widowControl/>
        <w:adjustRightInd w:val="0"/>
        <w:snapToGrid w:val="0"/>
        <w:spacing w:line="560" w:lineRule="exact"/>
        <w:ind w:firstLine="64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温泉县地质灾害类型为崩塌、泥石流、滑坡，温泉县境内现有地质灾害点总计226处，其中崩塌154处，泥石流68处，滑坡4处。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诱发因素多是强降水、气温升高融雪、地震及人为对边坡的破坏、人工振动等。崩塌、滑坡、泥石流等突发性地质灾害多集中在3—5月融雪季节和6—9月降雨季节。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二、2024年地质灾害趋势预测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㈠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根据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</w:t>
      </w:r>
      <w:r>
        <w:rPr>
          <w:rFonts w:ascii="Times New Roman" w:hAnsi="Times New Roman" w:eastAsia="方正仿宋_GBK" w:cs="Times New Roman"/>
          <w:sz w:val="32"/>
          <w:szCs w:val="32"/>
        </w:rPr>
        <w:t>县地质条件、气候特点及地质灾害分布特征，预计今年地质灾害易发时段主要集中在汛期（5—9月），其中主汛期（6—9月）强降水引发泥石流、滑坡、崩塌等突发性地质灾害的可能性较大。各乡镇场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有关部门单位要对地质灾害重点预防区域加强预防监测，提前开展综合防治。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㈡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经预测，2024年度全县平均气温较常年略偏高，降水量较常年略偏高。夏季局地强对流天气、冰雹、局地暴雨及由此引发洪水的概率较大。预计汛期主要降水时段在6月上旬及下旬、7月中旬和8月上旬。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㈢地震诱发滑坡、崩塌和泥石流等次生地质灾害， 种类多、危害大、分布面积大，治理难度大。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㈣ 随着城乡融合发展进程的加快，房屋、公路、矿山及水利水电等基础设施工程建设活动逐年增多，辖区内一些在建和拟建的大型工程，均可能成为地质灾害的多发区段。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根据全县地质灾害现状、危害特征及降雨和人类工程活动预测，2024年地质灾害具有如下特征：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地质灾害类型仍以自然因素诱发的小型山体崩塌、滑坡和泥石流为主，其次为人类工程活动（公路建设、采矿等）诱发的崩塌、滑坡等灾害。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地质灾害主要发生于汛期5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9月，为地质灾害重点防范期。地震和工程诱发灾害的时间具有不确定性。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由于治理难度大、治理措施难以有效到位等原因，灾害活动性仍不断增强，危害性有扩大的趋势，从总体看，全县地质灾害的活动和危害仍处于重点防范时期。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三、2024年地质灾害重点预防区域</w:t>
      </w:r>
    </w:p>
    <w:p>
      <w:pPr>
        <w:pStyle w:val="9"/>
        <w:widowControl/>
        <w:adjustRightInd w:val="0"/>
        <w:snapToGrid w:val="0"/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我县地形特征为东宽西窄的河谷地带，西高东底。</w:t>
      </w:r>
      <w:r>
        <w:rPr>
          <w:rFonts w:hint="eastAsia" w:ascii="Times New Roman" w:hAnsi="Times New Roman" w:eastAsia="方正仿宋_GBK"/>
          <w:sz w:val="32"/>
          <w:szCs w:val="32"/>
        </w:rPr>
        <w:t>县域</w:t>
      </w:r>
      <w:r>
        <w:rPr>
          <w:rFonts w:ascii="Times New Roman" w:hAnsi="Times New Roman" w:eastAsia="方正仿宋_GBK"/>
          <w:sz w:val="32"/>
          <w:szCs w:val="32"/>
        </w:rPr>
        <w:t>居民居住区大部分处于地势平坦区域，地质灾害相对较少，但在汛期到来时，河流沿线、水库库区周边及部分矿区，易发生泥石流、滑坡、崩塌等地质灾害。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高易发区主要分布于温泉县孟克沟、小温泉—赛里木湖旅游公路一带、阿尔夏提风景区、大呼斯台沟、米尔其克沟及沙尔贝里克沟一带。中易发区主要分布于南部山区的科克萨依沟、牙马特沟、乌苏都别格争沟及哈夏林场新沟附近。低易发区主要分布于高山区、低山丘陵区、博尔塔拉河沿岸的少部分平原区以及部分海拔较低的山区，温泉县鄂托克赛尔水库、库斯台水库、阿日夏提水库、温泉县北达巴特铜矿、哈尔达坂铅锌矿、祖鲁洪铜多金属矿、夏格纳石英岩矿等矿区，G219公路沿线、S304公路沿线、G219温霍公路沿线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崩塌（隐患）主要分布于阿拉套山、别珍套山西段及汗吉尕山中低坡度带山区牧道两侧。泥石流主要集中分布于查干屯格乡米尔其克沟、大胡斯台沟、查干赛沟、阿尔夏提风景区、达巴特、乌苏都别格争沟内及牧道、边防公路一侧。滑坡零星分布于北部山区沙尔贝力克沟、大胡斯台沟及南部山区的马依勒夏特沟、小温泉科克特格希沟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四、地质灾害防治工作措施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㈠强化管理措施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1.加强组织领导。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为实现防灾减灾目标，各乡镇场、各有关单位务必高度重视，以对国家和人民生命财产高度负责的精神，克服松懈麻痹思想，把地质灾害防治工作列入重要议事日程，坚持“预防为主、避让与治理”相结合的原则，落实各项防治措施。各乡镇场要健全地质灾害防治工作领导小组，主要领导要对本辖区的地质灾害防治工作负总责，及时研究解决防治工作中的重大问题。要建立完善责任制，将具体工作层层落实到人。对玩忽职守造成严重后果的有关责任人，要按照相关规定追究责任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2.编制地灾防治方案，落实各项防灾制度。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汛期来临之前，各乡镇场、各有关单位组织相关人员对地质灾害隐患点进行全面调查，特别要对容易诱发山体滑坡、崩塌、泥石流的区域以及2023年新增的地质灾害点进行重点调查，编制辖区地灾防治方案。要严格执行地质灾害“三查”（汛前排查、汛中巡查、汛后核查）制度、“两卡”（防灾工作明白卡、避险明白卡）发放制度、汛期值班和灾情报告制度，把地质灾害各项防治措施落到实处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3.加强地质灾害隐患巡查排查防控。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各乡镇场、各单位加大对地质灾害隐患汛前排查、汛中巡查和汛后核查，组织专业技术人员力量，开展专业巡查排查，重点加强地质灾害易发区学校、医院、村庄等人口密集区、旅游景区、交通干线、重要设施、重大工程建设活动区以及临时作业场地等重点地段全面排查、检查，对排查出的新增地质灾害隐患，及时补充、更新地质灾害隐患点信息，逐一落实防灾措施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4. 加强地质灾害评估评价。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各乡镇场、各单位要加强人为地质灾害隐患的监测，在划定的地质灾害危险区内，禁止审批新建住宅、周围爆破、削坡和从事其他可能引发地质灾害的活动。在地质灾害易发区内进行工程建设，应当在可行性研究阶段进行地质灾害危险性评估，并将评估结果作为可行性研究报告的组成部分。地质灾害治理工程的设计、施工和验收应当与主体工程的设计、施工、验收同时进行。配套的地质灾害治理工程未经验收或者经验收不合格的，主体工程不得投入使用。编制地质灾害易发区内的城市总体规划、村庄和集镇规划时，必须对规划区进行地质灾害危险性评估。新建、改（扩）建、延续矿山应当提交矿山地质环境影响评价报告，报告中应当包括地质灾害危险性评估内容，对地质灾害的危险性做出详细评估，并制定矿山地质环境保护和治理方案。 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5.加强宣传教育，提高全民的防灾减灾意识。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各乡镇场，各单位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要通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过各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种宣传媒体宣传地质灾害相关法律法规、防治知识、典型事件。要把宣传的重点放在矿山、农牧区、旅游区和重大基础设施所在地等地质灾害易发区，使受灾害威胁严重地区的干部群众掌握地质灾害防治的基本知识，调动广大群众防治地质灾害的积极性，不断提高自救、互救能力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㈡完善监测预警体系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bookmarkStart w:id="0" w:name="_Toc77918404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1.提升地质灾害气象风险预报预警精度</w:t>
      </w:r>
      <w:bookmarkEnd w:id="0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进一步加强地质灾害气象风险预报预警体系建设，整合气象、地震、地质灾害专家资源，定期开展预报预警，切实做到风险预报预警研判及时到位。进一步加强和完善信息发送渠道，确保预警信息第一时间送达群测群防员，实现“进村入户到人”，及时进行巡查、排查和上报信息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bookmarkStart w:id="1" w:name="_Toc77918405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2. 全面推进专群结合监测网络建设</w:t>
      </w:r>
      <w:bookmarkEnd w:id="1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对尚未规划实施搬迁、治理且威胁人数较多的地质灾害隐患点，进行专群结合监测预警建设。对重要地质灾害隐患点布设普适型监测设备，进行专群结合监测，总体提升地质灾害智能化、专业化和标准化监测预警覆盖面。做好值班值守，常态化开展乡（镇）及群测群防员地质灾害防治工作调度，确保指挥调度到位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bookmarkStart w:id="2" w:name="_Toc77918406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3. 提升群测群防能力</w:t>
      </w:r>
      <w:bookmarkEnd w:id="2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充分发挥地质灾害防治“第一道防线”作用，对专群结合监测预警点群测群防员手机安装群测群防工作APP，适当发放汛期信息通报电话费补贴。对行政管理人员、技术支撑人员及群测群防员等进行地质灾害防治知识培训，针对受威胁群众开展防灾避险演练，加强基层防灾备灾体系和能力建设，全面提高风险防御和应急处突能力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bookmarkStart w:id="3" w:name="_Toc2041164471"/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㈢加大综合防治力度</w:t>
      </w:r>
      <w:bookmarkEnd w:id="3"/>
    </w:p>
    <w:p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为全面保护人民生命财产安全，继续加强地质灾害工程治理和避险移民搬迁。对列入防治工程的隐患点，乡镇场人民政府及有关部门要进一步深入论证，按照“以防为主”的原则，能够搬迁避让的坚持以避险移民搬迁为主，确实难以搬迁的，按照“轻重缓急、分步实施”原则，集中有限的财力分期实施工程治理。</w:t>
      </w:r>
      <w:bookmarkStart w:id="4" w:name="_Toc77918408"/>
      <w:bookmarkStart w:id="5" w:name="_Toc106"/>
      <w:bookmarkStart w:id="6" w:name="_Toc12381"/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加强重要地质灾害隐患勘查</w:t>
      </w:r>
      <w:bookmarkEnd w:id="4"/>
      <w:bookmarkEnd w:id="5"/>
      <w:bookmarkEnd w:id="6"/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从威胁乡村、景区、重要基础设施区域、重要工程建设区等安全风险较高的隐患点中，排序、优选重要地质灾害隐患点进行专项勘查，查明地质环境条件和地质灾害成因、特征、危害程度及危险性，提出地质灾害防治方案建议，为防治工程设计、施工提供依据。</w:t>
      </w:r>
      <w:bookmarkStart w:id="7" w:name="_Toc1126054097"/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㈣提升基层风险防控能力</w:t>
      </w:r>
      <w:bookmarkEnd w:id="7"/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bookmarkStart w:id="8" w:name="_Toc77918413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1.健全防御技术支撑体系</w:t>
      </w:r>
      <w:bookmarkEnd w:id="8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建立完善县级地质灾害防御技术支撑体系，加强地质灾害防治专家队伍建设和汛期驻守专家队伍建设，提升地质灾害防御技术支撑能力，做到技术力量保障到位。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bookmarkStart w:id="9" w:name="_Toc77918414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2.加强现代化防御技术装备</w:t>
      </w:r>
      <w:bookmarkEnd w:id="9"/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应用。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推进地质灾害防御技术装备保障能力建设，大幅度提升地质灾害防御信息获取能力、通信保障能力和数据综合分析能力等。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3.推动社会力量参与防灾减灾。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依托基层社会治理体系，充分发挥乡村干部、群测群防员、社会工作者、志愿者和公众等各类人员防灾减灾积极性和主动性，建立政府主导、人人参与、人人尽责、共享平安地质灾害防治新格局。面向全社会开展多形式的防灾减灾知识科普宣传。对地质灾害防治区内的地质灾害防治人员进行不少</w:t>
      </w:r>
      <w:r>
        <w:rPr>
          <w:rFonts w:ascii="Times New Roman" w:hAnsi="Times New Roman" w:eastAsia="方正仿宋_GBK" w:cs="Times New Roman"/>
          <w:sz w:val="32"/>
          <w:szCs w:val="32"/>
        </w:rPr>
        <w:t>于1次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的地质灾害防治知识培训。以防范化解地质灾害风险为主题，构建适应不同对象和不同需求的地质灾害防治科普材料，助力全社会提升地质灾害避险撤离、自救互救能力。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㈤做好汛期值班值守和每日灾情报告工作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汛期</w:t>
      </w:r>
      <w:r>
        <w:rPr>
          <w:rFonts w:ascii="Times New Roman" w:hAnsi="Times New Roman" w:eastAsia="方正仿宋_GBK" w:cs="Times New Roman"/>
          <w:sz w:val="32"/>
          <w:szCs w:val="32"/>
        </w:rPr>
        <w:t>实行24小时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专人值班值守、领导带班制度。每日向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上级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报告当日有无地质灾害灾情。建立健全地质灾害防治值班值守各项管理制度，并向社会公布地质灾害带班领导和值班人员的名单、电话等信息。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五、温泉县地质灾害防治领导小组办公室组成人员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领导小组办公室设在温泉县自然资源局，办公室主任由郭展展担任，副主任由曼德胡担任，成员有苏亚、杨于俊、麦迪乃、艾尼克尔。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（温泉县地质灾害速报联系单位及负责人员名单附后）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温泉县地质灾害防治值班电话：0909—8222747、0909—8221953、0909—8223555（传真）。</w:t>
      </w:r>
    </w:p>
    <w:p>
      <w:pPr>
        <w:pStyle w:val="2"/>
        <w:spacing w:after="0" w:line="560" w:lineRule="exact"/>
        <w:ind w:firstLine="0" w:firstLineChars="0"/>
        <w:rPr>
          <w:rFonts w:ascii="Times New Roman" w:hAnsi="Times New Roman" w:cs="Times New Roman"/>
        </w:rPr>
      </w:pP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88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88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88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6"/>
        <w:adjustRightInd w:val="0"/>
        <w:snapToGrid w:val="0"/>
        <w:spacing w:before="0" w:beforeAutospacing="0" w:after="0" w:afterAutospacing="0" w:line="560" w:lineRule="exact"/>
        <w:ind w:firstLine="88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6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温泉县地质灾害速报联系单位及</w:t>
      </w:r>
      <w:bookmarkStart w:id="10" w:name="_GoBack"/>
      <w:bookmarkEnd w:id="10"/>
      <w:r>
        <w:rPr>
          <w:rFonts w:ascii="Times New Roman" w:hAnsi="Times New Roman" w:eastAsia="方正小标宋_GBK" w:cs="Times New Roman"/>
          <w:sz w:val="44"/>
          <w:szCs w:val="44"/>
        </w:rPr>
        <w:t>负责人员名单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1502"/>
        <w:gridCol w:w="2632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681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单位</w:t>
            </w:r>
          </w:p>
        </w:tc>
        <w:tc>
          <w:tcPr>
            <w:tcW w:w="150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姓名</w:t>
            </w:r>
          </w:p>
        </w:tc>
        <w:tc>
          <w:tcPr>
            <w:tcW w:w="263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职务</w:t>
            </w:r>
          </w:p>
        </w:tc>
        <w:tc>
          <w:tcPr>
            <w:tcW w:w="2075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81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温泉县自然资源局</w:t>
            </w:r>
          </w:p>
        </w:tc>
        <w:tc>
          <w:tcPr>
            <w:tcW w:w="150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郭展展</w:t>
            </w:r>
          </w:p>
        </w:tc>
        <w:tc>
          <w:tcPr>
            <w:tcW w:w="263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党组副书记、局长</w:t>
            </w:r>
          </w:p>
        </w:tc>
        <w:tc>
          <w:tcPr>
            <w:tcW w:w="2075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15700911573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81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温泉县自然资源局</w:t>
            </w:r>
          </w:p>
        </w:tc>
        <w:tc>
          <w:tcPr>
            <w:tcW w:w="150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曼德胡</w:t>
            </w:r>
          </w:p>
        </w:tc>
        <w:tc>
          <w:tcPr>
            <w:tcW w:w="263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副局长</w:t>
            </w:r>
          </w:p>
        </w:tc>
        <w:tc>
          <w:tcPr>
            <w:tcW w:w="2075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13345490623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81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温泉县自然资源局</w:t>
            </w:r>
          </w:p>
        </w:tc>
        <w:tc>
          <w:tcPr>
            <w:tcW w:w="150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杨于俊</w:t>
            </w:r>
          </w:p>
        </w:tc>
        <w:tc>
          <w:tcPr>
            <w:tcW w:w="263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四级调研员</w:t>
            </w:r>
          </w:p>
        </w:tc>
        <w:tc>
          <w:tcPr>
            <w:tcW w:w="2075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13579580366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81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温泉县自然资源局</w:t>
            </w:r>
          </w:p>
        </w:tc>
        <w:tc>
          <w:tcPr>
            <w:tcW w:w="150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苏  亚</w:t>
            </w:r>
          </w:p>
        </w:tc>
        <w:tc>
          <w:tcPr>
            <w:tcW w:w="263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草原监理所所长</w:t>
            </w:r>
          </w:p>
        </w:tc>
        <w:tc>
          <w:tcPr>
            <w:tcW w:w="2075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13579582764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81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温泉县自然资源局</w:t>
            </w:r>
          </w:p>
        </w:tc>
        <w:tc>
          <w:tcPr>
            <w:tcW w:w="150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麦迪乃</w:t>
            </w:r>
          </w:p>
        </w:tc>
        <w:tc>
          <w:tcPr>
            <w:tcW w:w="263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草原监理所干事</w:t>
            </w:r>
          </w:p>
        </w:tc>
        <w:tc>
          <w:tcPr>
            <w:tcW w:w="2075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15709096603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81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温泉县自然资源局</w:t>
            </w:r>
          </w:p>
        </w:tc>
        <w:tc>
          <w:tcPr>
            <w:tcW w:w="150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艾尼克尔</w:t>
            </w:r>
          </w:p>
        </w:tc>
        <w:tc>
          <w:tcPr>
            <w:tcW w:w="2632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空间修复中心干事</w:t>
            </w:r>
          </w:p>
        </w:tc>
        <w:tc>
          <w:tcPr>
            <w:tcW w:w="2075" w:type="dxa"/>
            <w:noWrap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600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18599149394</w:t>
            </w:r>
          </w:p>
        </w:tc>
      </w:tr>
    </w:tbl>
    <w:p>
      <w:pPr>
        <w:pStyle w:val="4"/>
        <w:spacing w:line="560" w:lineRule="exact"/>
        <w:ind w:left="0" w:leftChars="0" w:firstLine="420"/>
      </w:pPr>
    </w:p>
    <w:p>
      <w:pPr>
        <w:pStyle w:val="2"/>
        <w:spacing w:after="0" w:line="560" w:lineRule="exact"/>
        <w:ind w:firstLine="0" w:firstLineChars="0"/>
      </w:pPr>
    </w:p>
    <w:p>
      <w:pPr>
        <w:pStyle w:val="4"/>
        <w:spacing w:line="560" w:lineRule="exact"/>
        <w:ind w:left="0" w:leftChars="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pStyle w:val="4"/>
        <w:ind w:left="2940" w:firstLine="420"/>
      </w:pPr>
    </w:p>
    <w:p>
      <w:pPr>
        <w:ind w:firstLine="420"/>
      </w:pPr>
    </w:p>
    <w:p>
      <w:pPr>
        <w:pStyle w:val="2"/>
      </w:pPr>
    </w:p>
    <w:p>
      <w:pPr>
        <w:pStyle w:val="3"/>
        <w:ind w:firstLine="420"/>
      </w:pPr>
    </w:p>
    <w:p>
      <w:pPr>
        <w:widowControl/>
        <w:pBdr>
          <w:top w:val="single" w:color="auto" w:sz="4" w:space="0"/>
          <w:bottom w:val="single" w:color="auto" w:sz="4" w:space="0"/>
        </w:pBdr>
        <w:snapToGrid w:val="0"/>
        <w:spacing w:line="560" w:lineRule="exact"/>
        <w:ind w:firstLine="140" w:firstLineChars="50"/>
      </w:pPr>
      <w:r>
        <w:rPr>
          <w:rFonts w:hint="eastAsia" w:eastAsia="方正仿宋_GBK" w:cs="方正仿宋_GBK"/>
          <w:sz w:val="28"/>
          <w:szCs w:val="28"/>
        </w:rPr>
        <w:t xml:space="preserve">温泉县人民政府办公室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14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p>
      <w:pPr>
        <w:spacing w:line="220" w:lineRule="atLeast"/>
      </w:pPr>
    </w:p>
    <w:sectPr>
      <w:footerReference r:id="rId5" w:type="default"/>
      <w:pgSz w:w="11906" w:h="16838"/>
      <w:pgMar w:top="1984" w:right="1474" w:bottom="1871" w:left="1587" w:header="851" w:footer="1587" w:gutter="0"/>
      <w:pgNumType w:fmt="numberInDash" w:start="1"/>
      <w:cols w:space="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iyinWebCaganTig">
    <w:altName w:val="Courier New"/>
    <w:panose1 w:val="00000000000000000000"/>
    <w:charset w:val="00"/>
    <w:family w:val="auto"/>
    <w:pitch w:val="default"/>
    <w:sig w:usb0="00000000" w:usb1="00000000" w:usb2="00000000" w:usb3="00000000" w:csb0="0000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4F2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tabs>
        <w:tab w:val="left" w:pos="1890"/>
      </w:tabs>
      <w:spacing w:after="120" w:line="430" w:lineRule="exact"/>
      <w:ind w:firstLine="600" w:firstLineChars="200"/>
      <w:jc w:val="left"/>
    </w:pPr>
    <w:rPr>
      <w:rFonts w:ascii="仿宋_GB2312" w:hAnsi="SaiyinWebCaganTig" w:eastAsia="仿宋_GB2312" w:cs="宋体"/>
      <w:sz w:val="30"/>
      <w:szCs w:val="30"/>
    </w:rPr>
  </w:style>
  <w:style w:type="paragraph" w:customStyle="1" w:styleId="3">
    <w:name w:val="p0"/>
    <w:basedOn w:val="1"/>
    <w:next w:val="4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正文hp"/>
    <w:basedOn w:val="1"/>
    <w:qFormat/>
    <w:uiPriority w:val="0"/>
    <w:pPr>
      <w:spacing w:line="500" w:lineRule="exact"/>
      <w:ind w:firstLine="480" w:firstLineChars="200"/>
    </w:pPr>
    <w:rPr>
      <w:rFonts w:ascii="仿宋_GB2312" w:hAnsi="仿宋_GB2312" w:eastAsia="仿宋_GB2312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2024-08-16T11:57:21Z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87B718E2E22C4150B5C34D12EE1F8787</vt:lpwstr>
  </property>
</Properties>
</file>