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1"/>
        <w:gridCol w:w="2933"/>
        <w:gridCol w:w="1657"/>
        <w:gridCol w:w="1331"/>
      </w:tblGrid>
      <w:tr w14:paraId="30C2D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D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博州温泉县畜禽粪污资源化利用整县推进项目（二标段）招标代理服务收费报价单</w:t>
            </w:r>
            <w:bookmarkEnd w:id="0"/>
          </w:p>
        </w:tc>
      </w:tr>
      <w:tr w14:paraId="2195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B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报价单位（招标代理机构）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D98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057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A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委托人（招标人）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07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温泉县农业农村局</w:t>
            </w:r>
          </w:p>
        </w:tc>
      </w:tr>
      <w:tr w14:paraId="6182B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54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DC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博州温泉县畜禽粪污资源化利用整县推进项目（二标段）</w:t>
            </w:r>
          </w:p>
        </w:tc>
      </w:tr>
      <w:tr w14:paraId="18271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7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招标内容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D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  <w:t>设备购置</w:t>
            </w:r>
          </w:p>
        </w:tc>
      </w:tr>
      <w:tr w14:paraId="243B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5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报价币种</w:t>
            </w:r>
          </w:p>
        </w:tc>
        <w:tc>
          <w:tcPr>
            <w:tcW w:w="34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D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人民币（元）</w:t>
            </w:r>
          </w:p>
        </w:tc>
      </w:tr>
      <w:tr w14:paraId="4151F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C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一、计费基础及依据</w:t>
            </w:r>
          </w:p>
        </w:tc>
      </w:tr>
      <w:tr w14:paraId="2EDE6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1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CA75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F8D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71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5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二、招标代理服务费基准价计算方法</w:t>
            </w:r>
          </w:p>
        </w:tc>
      </w:tr>
      <w:tr w14:paraId="09256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0C4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935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5CE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060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00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3D7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B28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23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三、报价</w:t>
            </w:r>
          </w:p>
        </w:tc>
      </w:tr>
      <w:tr w14:paraId="22FF3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0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招标代理服务费基准价（元）基础上，浮动幅度（%）工程类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下浮率      %</w:t>
            </w:r>
          </w:p>
        </w:tc>
        <w:tc>
          <w:tcPr>
            <w:tcW w:w="17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注：下浮率 = 100% − （实际收取的代理服务费 ÷ 1980号基准价 × 100%）</w:t>
            </w:r>
          </w:p>
        </w:tc>
      </w:tr>
      <w:tr w14:paraId="54822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D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招标代理服务费基准价（元）基础上，浮动幅度（%）设备类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下浮率      %</w:t>
            </w:r>
          </w:p>
        </w:tc>
        <w:tc>
          <w:tcPr>
            <w:tcW w:w="17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注：下浮率 = 100% − （实际收取的代理服务费 ÷ 1980号基准价 × 100%）</w:t>
            </w:r>
          </w:p>
        </w:tc>
      </w:tr>
      <w:tr w14:paraId="42A62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3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四、报价说明与承诺</w:t>
            </w:r>
          </w:p>
        </w:tc>
      </w:tr>
      <w:tr w14:paraId="6F304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2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1.参照《招标代理服务收费管理暂行办法》（计价格〔2002〕1980号）差额定率累进计费办法测算。自发改价格〔2015〕299号起招标代理服务收费已实行市场调节价，本报价为双方协商确定价。</w:t>
            </w:r>
          </w:p>
        </w:tc>
      </w:tr>
      <w:tr w14:paraId="28594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8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2.服务范围：包含编制招标（资格预审）文件、发布招标公告、组织开标评标、编制评标报告、发出中标通知书、资料归档等全过程代理服务。</w:t>
            </w:r>
          </w:p>
        </w:tc>
      </w:tr>
      <w:tr w14:paraId="65B7E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D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3.费用包含：上述服务范围内的人工、差旅、办公、税费等全部成本，属于包干价。</w:t>
            </w:r>
          </w:p>
        </w:tc>
      </w:tr>
      <w:tr w14:paraId="791E0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6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五、报价单位信息与签章</w:t>
            </w:r>
          </w:p>
        </w:tc>
      </w:tr>
      <w:tr w14:paraId="14FD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C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报价单位（盖章）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FF65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BAB2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78C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C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法人或授权代表（签字）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7AD4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2E0D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09E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F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FA5A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A67A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8A0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0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报价日期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77F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9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传真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DADD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49501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E9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2026-11-02T08:50:18Z</dcterms:created>
  <dc:creator>cyl31</dc:creator>
  <cp:lastModifiedBy>七彩泡沫</cp:lastModifiedBy>
  <dcterms:modified xsi:type="dcterms:W3CDTF">2026-11-02T08:50:42Z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eyJoZGlkIjoiNWQ2OGVjNTgzZmQ3ZDAwMTc3YzNhMDMwOWM1YjUzZGIiLCJ1c2VySWQiOiIzMjE4MTMyNTIifQ==</vt:lpwstr>
  </property>
  <property fmtid="{D5CDD505-2E9C-101B-9397-08002B2CF9AE}" pid="4" name="ICV">
    <vt:lpwstr>DC099B617CC0405A878AAF39C6F2B3E8_12</vt:lpwstr>
  </property>
</Properties>
</file>